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F94EC">
      <w:pPr>
        <w:pStyle w:val="4"/>
        <w:bidi w:val="0"/>
        <w:ind w:left="0" w:leftChars="0" w:firstLine="0" w:firstLine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附件</w:t>
      </w:r>
      <w:bookmarkStart w:id="0" w:name="_GoBack"/>
      <w:bookmarkEnd w:id="0"/>
    </w:p>
    <w:p w14:paraId="2631F6F4">
      <w:pPr>
        <w:pStyle w:val="3"/>
        <w:bidi w:val="0"/>
        <w:ind w:left="0" w:leftChars="0" w:firstLine="0" w:firstLineChars="0"/>
        <w:jc w:val="center"/>
        <w:rPr>
          <w:rFonts w:hint="eastAsia"/>
          <w:color w:val="auto"/>
          <w:sz w:val="40"/>
          <w:szCs w:val="40"/>
          <w:lang w:val="en-US" w:eastAsia="zh-CN"/>
        </w:rPr>
      </w:pPr>
      <w:r>
        <w:rPr>
          <w:rFonts w:hint="eastAsia"/>
          <w:color w:val="auto"/>
          <w:sz w:val="40"/>
          <w:szCs w:val="40"/>
          <w:lang w:val="en-US" w:eastAsia="zh-CN"/>
        </w:rPr>
        <w:t>四川省外贸集团有限责任公司</w:t>
      </w:r>
    </w:p>
    <w:p w14:paraId="5526F624">
      <w:pPr>
        <w:pStyle w:val="3"/>
        <w:bidi w:val="0"/>
        <w:ind w:left="0" w:leftChars="0" w:firstLine="0" w:firstLineChars="0"/>
        <w:jc w:val="center"/>
        <w:rPr>
          <w:rFonts w:hint="eastAsia"/>
          <w:color w:val="auto"/>
          <w:sz w:val="40"/>
          <w:szCs w:val="40"/>
          <w:lang w:val="en-US" w:eastAsia="zh-CN"/>
        </w:rPr>
      </w:pPr>
      <w:r>
        <w:rPr>
          <w:rFonts w:hint="eastAsia"/>
          <w:color w:val="auto"/>
          <w:sz w:val="40"/>
          <w:szCs w:val="40"/>
          <w:lang w:val="en-US" w:eastAsia="zh-CN"/>
        </w:rPr>
        <w:t>业务管理部部长/副部长（主持工作）岗位说明书</w:t>
      </w:r>
    </w:p>
    <w:tbl>
      <w:tblPr>
        <w:tblStyle w:val="13"/>
        <w:tblW w:w="9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893"/>
        <w:gridCol w:w="2564"/>
        <w:gridCol w:w="1056"/>
        <w:gridCol w:w="1291"/>
        <w:gridCol w:w="1296"/>
        <w:gridCol w:w="1951"/>
      </w:tblGrid>
      <w:tr w14:paraId="122EE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621" w:type="dxa"/>
            <w:gridSpan w:val="2"/>
            <w:vAlign w:val="center"/>
          </w:tcPr>
          <w:p w14:paraId="43BC6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职位名称</w:t>
            </w:r>
          </w:p>
        </w:tc>
        <w:tc>
          <w:tcPr>
            <w:tcW w:w="2570" w:type="dxa"/>
            <w:vAlign w:val="center"/>
          </w:tcPr>
          <w:p w14:paraId="6DE19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部长/副部长（主持工作）</w:t>
            </w:r>
          </w:p>
        </w:tc>
        <w:tc>
          <w:tcPr>
            <w:tcW w:w="0" w:type="auto"/>
            <w:vAlign w:val="center"/>
          </w:tcPr>
          <w:p w14:paraId="5444A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所属部门</w:t>
            </w:r>
          </w:p>
        </w:tc>
        <w:tc>
          <w:tcPr>
            <w:tcW w:w="1294" w:type="dxa"/>
            <w:vAlign w:val="center"/>
          </w:tcPr>
          <w:p w14:paraId="15624B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业务管理部</w:t>
            </w:r>
          </w:p>
        </w:tc>
        <w:tc>
          <w:tcPr>
            <w:tcW w:w="1299" w:type="dxa"/>
            <w:vAlign w:val="center"/>
          </w:tcPr>
          <w:p w14:paraId="3E528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直接上级职位</w:t>
            </w:r>
          </w:p>
        </w:tc>
        <w:tc>
          <w:tcPr>
            <w:tcW w:w="1951" w:type="dxa"/>
            <w:vAlign w:val="center"/>
          </w:tcPr>
          <w:p w14:paraId="78B8F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分管领导</w:t>
            </w:r>
          </w:p>
        </w:tc>
      </w:tr>
      <w:tr w14:paraId="22AE6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621" w:type="dxa"/>
            <w:gridSpan w:val="2"/>
            <w:vMerge w:val="restart"/>
            <w:vAlign w:val="center"/>
          </w:tcPr>
          <w:p w14:paraId="51E2A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核心职责</w:t>
            </w:r>
          </w:p>
        </w:tc>
        <w:tc>
          <w:tcPr>
            <w:tcW w:w="4906" w:type="dxa"/>
            <w:gridSpan w:val="3"/>
            <w:vMerge w:val="restart"/>
            <w:vAlign w:val="center"/>
          </w:tcPr>
          <w:p w14:paraId="13D9D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负责公司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业务管理工作，推动公司业务高质量发展，保障公司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业务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目标达成。</w:t>
            </w:r>
          </w:p>
        </w:tc>
        <w:tc>
          <w:tcPr>
            <w:tcW w:w="1299" w:type="dxa"/>
            <w:vAlign w:val="center"/>
          </w:tcPr>
          <w:p w14:paraId="606FE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职级</w:t>
            </w:r>
          </w:p>
        </w:tc>
        <w:tc>
          <w:tcPr>
            <w:tcW w:w="1951" w:type="dxa"/>
            <w:vAlign w:val="center"/>
          </w:tcPr>
          <w:p w14:paraId="40B58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B06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03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Style w:val="18"/>
                <w:rFonts w:hint="eastAsia" w:ascii="Times New Roman" w:hAnsi="Times New Roman" w:eastAsia="宋体" w:cs="宋体"/>
                <w:b w:val="0"/>
                <w:color w:val="auto"/>
                <w:sz w:val="21"/>
                <w:szCs w:val="21"/>
                <w:lang w:val="en-US" w:eastAsia="zh-CN"/>
              </w:rPr>
              <w:t>B07</w:t>
            </w:r>
            <w:r>
              <w:rPr>
                <w:rStyle w:val="18"/>
                <w:rFonts w:hint="eastAsia" w:ascii="宋体" w:hAnsi="宋体" w:eastAsia="宋体" w:cs="宋体"/>
                <w:b w:val="0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Style w:val="18"/>
                <w:rFonts w:hint="eastAsia" w:ascii="Times New Roman" w:hAnsi="Times New Roman" w:eastAsia="宋体" w:cs="宋体"/>
                <w:b w:val="0"/>
                <w:color w:val="auto"/>
                <w:sz w:val="21"/>
                <w:szCs w:val="21"/>
                <w:lang w:val="en-US" w:eastAsia="zh-CN"/>
              </w:rPr>
              <w:t>02</w:t>
            </w:r>
          </w:p>
        </w:tc>
      </w:tr>
      <w:tr w14:paraId="0BC4E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621" w:type="dxa"/>
            <w:gridSpan w:val="2"/>
            <w:vMerge w:val="continue"/>
            <w:vAlign w:val="center"/>
          </w:tcPr>
          <w:p w14:paraId="2D50D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4906" w:type="dxa"/>
            <w:gridSpan w:val="3"/>
            <w:vMerge w:val="continue"/>
            <w:vAlign w:val="center"/>
          </w:tcPr>
          <w:p w14:paraId="06874707">
            <w:pPr>
              <w:keepNext w:val="0"/>
              <w:keepLines w:val="0"/>
              <w:pageBreakBefore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 w14:paraId="3D3903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薪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级</w:t>
            </w:r>
          </w:p>
        </w:tc>
        <w:tc>
          <w:tcPr>
            <w:tcW w:w="1951" w:type="dxa"/>
            <w:vAlign w:val="center"/>
          </w:tcPr>
          <w:p w14:paraId="5E295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根据目标和考核结果确定</w:t>
            </w:r>
          </w:p>
        </w:tc>
      </w:tr>
      <w:tr w14:paraId="77573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727" w:type="dxa"/>
            <w:vMerge w:val="restart"/>
            <w:vAlign w:val="center"/>
          </w:tcPr>
          <w:p w14:paraId="330CB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岗</w:t>
            </w:r>
          </w:p>
          <w:p w14:paraId="363EB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位</w:t>
            </w:r>
          </w:p>
          <w:p w14:paraId="53D17F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</w:t>
            </w:r>
          </w:p>
          <w:p w14:paraId="2FE0E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责</w:t>
            </w:r>
          </w:p>
        </w:tc>
        <w:tc>
          <w:tcPr>
            <w:tcW w:w="894" w:type="dxa"/>
            <w:vAlign w:val="center"/>
          </w:tcPr>
          <w:p w14:paraId="2E99E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156" w:type="dxa"/>
            <w:gridSpan w:val="5"/>
            <w:vAlign w:val="center"/>
          </w:tcPr>
          <w:p w14:paraId="03B31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开展存量业务结构性研究：分析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外贸集团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现有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业务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品类、市场、客户、毛利、贸易模式现状，精准识别业务短板、低效环节、盈利痛点与发展瓶颈。</w:t>
            </w:r>
          </w:p>
        </w:tc>
      </w:tr>
      <w:tr w14:paraId="02400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727" w:type="dxa"/>
            <w:vMerge w:val="continue"/>
            <w:vAlign w:val="center"/>
          </w:tcPr>
          <w:p w14:paraId="5F9E1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1605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156" w:type="dxa"/>
            <w:gridSpan w:val="5"/>
            <w:vAlign w:val="center"/>
          </w:tcPr>
          <w:p w14:paraId="095DD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开展业务对标分析：对标行业先进、头部外贸企业、同行标杆，梳理外贸集团业务差距，形成业务提质增效、结构优化、品类升级专项方案。</w:t>
            </w:r>
          </w:p>
        </w:tc>
      </w:tr>
      <w:tr w14:paraId="5F566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27" w:type="dxa"/>
            <w:vMerge w:val="continue"/>
            <w:vAlign w:val="center"/>
          </w:tcPr>
          <w:p w14:paraId="712DA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DDD0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156" w:type="dxa"/>
            <w:gridSpan w:val="5"/>
            <w:vAlign w:val="center"/>
          </w:tcPr>
          <w:p w14:paraId="62458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业务履约提质跟进：针对重点存量业务、长期框架业务，开展过程分析、问题诊断，指导一线解决履约、单证、物流、客户维护中的实操难题，提升存量业务质量与效益。</w:t>
            </w:r>
          </w:p>
        </w:tc>
      </w:tr>
      <w:tr w14:paraId="19029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27" w:type="dxa"/>
            <w:vMerge w:val="continue"/>
            <w:vAlign w:val="center"/>
          </w:tcPr>
          <w:p w14:paraId="0B112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63D0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156" w:type="dxa"/>
            <w:gridSpan w:val="5"/>
            <w:vAlign w:val="center"/>
          </w:tcPr>
          <w:p w14:paraId="47CEA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增量业务行业与市场研判：持续研究全球贸易政策、国别市场、产业链供需、行业趋势、竞品动态，研判外贸新业态、新赛道、新机遇。</w:t>
            </w:r>
          </w:p>
        </w:tc>
      </w:tr>
      <w:tr w14:paraId="126DD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27" w:type="dxa"/>
            <w:vMerge w:val="continue"/>
            <w:vAlign w:val="center"/>
          </w:tcPr>
          <w:p w14:paraId="31450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1E95ED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156" w:type="dxa"/>
            <w:gridSpan w:val="5"/>
            <w:vAlign w:val="center"/>
          </w:tcPr>
          <w:p w14:paraId="35C2A7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新业务可行性研究：针对新品类、新市场、新贸易模式（大宗商品、外综服、市场采购、海外仓、供应链贸易等）开展调研、论证、业务测算、风险研判，输出可行性研究报告。</w:t>
            </w:r>
          </w:p>
        </w:tc>
      </w:tr>
      <w:tr w14:paraId="76819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27" w:type="dxa"/>
            <w:vMerge w:val="continue"/>
            <w:vAlign w:val="center"/>
          </w:tcPr>
          <w:p w14:paraId="30B79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D441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156" w:type="dxa"/>
            <w:gridSpan w:val="5"/>
            <w:vAlign w:val="center"/>
          </w:tcPr>
          <w:p w14:paraId="7F66B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新业务开拓与商务对接：负责外贸集团新兴市场布局、重点产业客户、核心渠道资源开拓；配合分管领导开展重大新项目商务谈判、框架合作洽谈、合作模式设计。</w:t>
            </w:r>
          </w:p>
        </w:tc>
      </w:tr>
      <w:tr w14:paraId="07C49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27" w:type="dxa"/>
            <w:vMerge w:val="continue"/>
            <w:vAlign w:val="center"/>
          </w:tcPr>
          <w:p w14:paraId="0A53C4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03E6D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156" w:type="dxa"/>
            <w:gridSpan w:val="5"/>
            <w:vAlign w:val="center"/>
          </w:tcPr>
          <w:p w14:paraId="7544F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新业务试点落地运营：牵头新业务首单试单、全流程履约落地，协助子公司打通报关、物流、结算、单证、合作对接实操堵点，形成标准化业务模型。</w:t>
            </w:r>
          </w:p>
        </w:tc>
      </w:tr>
      <w:tr w14:paraId="7237E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27" w:type="dxa"/>
            <w:vMerge w:val="continue"/>
            <w:vAlign w:val="center"/>
          </w:tcPr>
          <w:p w14:paraId="38FF48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6139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156" w:type="dxa"/>
            <w:gridSpan w:val="5"/>
            <w:vAlign w:val="center"/>
          </w:tcPr>
          <w:p w14:paraId="77D7B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新业务推广：将成熟新业态、新模式、新渠道向各子公司、业务板块推广落地，培育外贸集团新增量、新增长点。</w:t>
            </w:r>
          </w:p>
        </w:tc>
      </w:tr>
      <w:tr w14:paraId="0A549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27" w:type="dxa"/>
            <w:vMerge w:val="continue"/>
            <w:vAlign w:val="center"/>
          </w:tcPr>
          <w:p w14:paraId="62E1B2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3D17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156" w:type="dxa"/>
            <w:gridSpan w:val="5"/>
            <w:vAlign w:val="center"/>
          </w:tcPr>
          <w:p w14:paraId="34534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负责公司各类业务补贴政策，推动政策研究与落实，助力业务降本增效。</w:t>
            </w:r>
          </w:p>
        </w:tc>
      </w:tr>
      <w:tr w14:paraId="26F33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27" w:type="dxa"/>
            <w:vMerge w:val="continue"/>
            <w:vAlign w:val="center"/>
          </w:tcPr>
          <w:p w14:paraId="56990A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1F7E1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156" w:type="dxa"/>
            <w:gridSpan w:val="5"/>
            <w:vAlign w:val="center"/>
          </w:tcPr>
          <w:p w14:paraId="5E504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统筹公司内外部资源（海外客户资源、物流渠道、供应链产能等），打破资源壁垒，协调子公司间业务协作，强化业务协同效应。</w:t>
            </w:r>
          </w:p>
        </w:tc>
      </w:tr>
      <w:tr w14:paraId="1C6FE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27" w:type="dxa"/>
            <w:vMerge w:val="continue"/>
            <w:vAlign w:val="center"/>
          </w:tcPr>
          <w:p w14:paraId="1B8BC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5A811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default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职责11</w:t>
            </w:r>
          </w:p>
        </w:tc>
        <w:tc>
          <w:tcPr>
            <w:tcW w:w="8156" w:type="dxa"/>
            <w:gridSpan w:val="5"/>
            <w:shd w:val="clear" w:color="auto" w:fill="auto"/>
            <w:vAlign w:val="center"/>
          </w:tcPr>
          <w:p w14:paraId="1DDA7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维护公司对外合作与公共关系，深化与政府部门（商务厅、海关等）、行业协会、商会沟通，积极争取政策支持（出口退税、补贴等）。</w:t>
            </w:r>
          </w:p>
        </w:tc>
      </w:tr>
      <w:tr w14:paraId="63C6A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27" w:type="dxa"/>
            <w:vMerge w:val="continue"/>
            <w:vAlign w:val="center"/>
          </w:tcPr>
          <w:p w14:paraId="61A63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45D77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default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职责12</w:t>
            </w:r>
          </w:p>
        </w:tc>
        <w:tc>
          <w:tcPr>
            <w:tcW w:w="8156" w:type="dxa"/>
            <w:gridSpan w:val="5"/>
            <w:shd w:val="clear" w:color="auto" w:fill="auto"/>
            <w:vAlign w:val="center"/>
          </w:tcPr>
          <w:p w14:paraId="7548C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负责统筹公司品牌管理和品牌宣传</w:t>
            </w:r>
          </w:p>
        </w:tc>
      </w:tr>
      <w:tr w14:paraId="119A1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727" w:type="dxa"/>
            <w:vMerge w:val="continue"/>
            <w:vAlign w:val="center"/>
          </w:tcPr>
          <w:p w14:paraId="5C217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14:paraId="7472A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职责13</w:t>
            </w:r>
          </w:p>
        </w:tc>
        <w:tc>
          <w:tcPr>
            <w:tcW w:w="8156" w:type="dxa"/>
            <w:gridSpan w:val="5"/>
            <w:shd w:val="clear" w:color="auto" w:fill="auto"/>
            <w:vAlign w:val="center"/>
          </w:tcPr>
          <w:p w14:paraId="7DF46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公司及领导安排的其他工作</w:t>
            </w:r>
          </w:p>
        </w:tc>
      </w:tr>
      <w:tr w14:paraId="2E9F5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727" w:type="dxa"/>
            <w:vMerge w:val="restart"/>
            <w:vAlign w:val="center"/>
          </w:tcPr>
          <w:p w14:paraId="7F525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任职资格条件</w:t>
            </w:r>
          </w:p>
        </w:tc>
        <w:tc>
          <w:tcPr>
            <w:tcW w:w="894" w:type="dxa"/>
            <w:vAlign w:val="center"/>
          </w:tcPr>
          <w:p w14:paraId="5C394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3612" w:type="dxa"/>
            <w:gridSpan w:val="2"/>
            <w:vAlign w:val="center"/>
          </w:tcPr>
          <w:p w14:paraId="70C5D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94" w:type="dxa"/>
            <w:vMerge w:val="restart"/>
            <w:vAlign w:val="center"/>
          </w:tcPr>
          <w:p w14:paraId="156A5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经验</w:t>
            </w:r>
          </w:p>
        </w:tc>
        <w:tc>
          <w:tcPr>
            <w:tcW w:w="3250" w:type="dxa"/>
            <w:gridSpan w:val="2"/>
            <w:vMerge w:val="restart"/>
            <w:vAlign w:val="center"/>
          </w:tcPr>
          <w:p w14:paraId="6843769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正职岗位要求</w:t>
            </w:r>
          </w:p>
          <w:p w14:paraId="7515B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内部竞聘：同层级副职岗位工作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年以上，未满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年的应当在同层级副职岗位和下一层级岗位工作累计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年以上，其中在同层级副职岗位任职应至少满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年；</w:t>
            </w:r>
          </w:p>
          <w:p w14:paraId="1F060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社会招聘：任大中型企业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外贸业务管理部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副部长岗位工作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年以上；具有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年及以上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外贸业务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工作经历，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年及以上大中型企业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外贸业务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管理经验优先。</w:t>
            </w:r>
          </w:p>
          <w:p w14:paraId="620E802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副职岗位要求</w:t>
            </w:r>
          </w:p>
          <w:p w14:paraId="6459665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 xml:space="preserve">内部竞聘：下一层级岗位工作 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年以上，未满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年的一般应当在下一层级和再下一层级岗位工作累计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年以上。</w:t>
            </w:r>
          </w:p>
          <w:p w14:paraId="3E61B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社会招聘：任大中型企业外贸业务管理岗位工作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年以上；具有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年及以上外贸业务工作经历优先。</w:t>
            </w:r>
          </w:p>
        </w:tc>
      </w:tr>
      <w:tr w14:paraId="6ACD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27" w:type="dxa"/>
            <w:vMerge w:val="continue"/>
            <w:vAlign w:val="center"/>
          </w:tcPr>
          <w:p w14:paraId="4BF09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vAlign w:val="center"/>
          </w:tcPr>
          <w:p w14:paraId="4F9D5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年龄</w:t>
            </w:r>
          </w:p>
        </w:tc>
        <w:tc>
          <w:tcPr>
            <w:tcW w:w="3612" w:type="dxa"/>
            <w:gridSpan w:val="2"/>
            <w:vAlign w:val="center"/>
          </w:tcPr>
          <w:p w14:paraId="65A16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94" w:type="dxa"/>
            <w:vMerge w:val="continue"/>
            <w:vAlign w:val="center"/>
          </w:tcPr>
          <w:p w14:paraId="68C11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3250" w:type="dxa"/>
            <w:gridSpan w:val="2"/>
            <w:vMerge w:val="continue"/>
            <w:vAlign w:val="center"/>
          </w:tcPr>
          <w:p w14:paraId="2E18D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</w:pPr>
          </w:p>
        </w:tc>
      </w:tr>
      <w:tr w14:paraId="54388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727" w:type="dxa"/>
            <w:vMerge w:val="continue"/>
            <w:vAlign w:val="center"/>
          </w:tcPr>
          <w:p w14:paraId="4864D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vAlign w:val="center"/>
          </w:tcPr>
          <w:p w14:paraId="590A6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3612" w:type="dxa"/>
            <w:gridSpan w:val="2"/>
            <w:vAlign w:val="center"/>
          </w:tcPr>
          <w:p w14:paraId="23DF2A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大学本科及以上</w:t>
            </w:r>
          </w:p>
        </w:tc>
        <w:tc>
          <w:tcPr>
            <w:tcW w:w="1294" w:type="dxa"/>
            <w:vMerge w:val="continue"/>
            <w:vAlign w:val="center"/>
          </w:tcPr>
          <w:p w14:paraId="10CF6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3250" w:type="dxa"/>
            <w:gridSpan w:val="2"/>
            <w:vMerge w:val="continue"/>
          </w:tcPr>
          <w:p w14:paraId="58D8D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</w:pPr>
          </w:p>
        </w:tc>
      </w:tr>
      <w:tr w14:paraId="73B24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27" w:type="dxa"/>
            <w:vMerge w:val="continue"/>
            <w:vAlign w:val="center"/>
          </w:tcPr>
          <w:p w14:paraId="2A212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vAlign w:val="center"/>
          </w:tcPr>
          <w:p w14:paraId="3D8D6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3612" w:type="dxa"/>
            <w:gridSpan w:val="2"/>
            <w:vAlign w:val="center"/>
          </w:tcPr>
          <w:p w14:paraId="67B9C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国际贸易、国际货运、英语等专业优先</w:t>
            </w:r>
          </w:p>
        </w:tc>
        <w:tc>
          <w:tcPr>
            <w:tcW w:w="1294" w:type="dxa"/>
            <w:vAlign w:val="center"/>
          </w:tcPr>
          <w:p w14:paraId="46949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资质和资格证书</w:t>
            </w:r>
          </w:p>
        </w:tc>
        <w:tc>
          <w:tcPr>
            <w:tcW w:w="3250" w:type="dxa"/>
            <w:gridSpan w:val="2"/>
          </w:tcPr>
          <w:p w14:paraId="7D098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 w14:paraId="5E152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  <w:jc w:val="center"/>
        </w:trPr>
        <w:tc>
          <w:tcPr>
            <w:tcW w:w="727" w:type="dxa"/>
            <w:vMerge w:val="continue"/>
          </w:tcPr>
          <w:p w14:paraId="5F47B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94" w:type="dxa"/>
            <w:vAlign w:val="center"/>
          </w:tcPr>
          <w:p w14:paraId="27E2F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其他</w:t>
            </w:r>
          </w:p>
        </w:tc>
        <w:tc>
          <w:tcPr>
            <w:tcW w:w="8156" w:type="dxa"/>
            <w:gridSpan w:val="5"/>
          </w:tcPr>
          <w:p w14:paraId="02795B89">
            <w:pPr>
              <w:pStyle w:val="1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精通公司业务管理全流程，熟悉国际贸易政策、行业发展趋势、品牌建设理论；掌握企业管理、财务管理等知识，具备国际业务开拓能力。</w:t>
            </w:r>
          </w:p>
          <w:p w14:paraId="56663912">
            <w:pPr>
              <w:pStyle w:val="1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具备卓越战略思维、统筹协调、决策判断能力；优秀沟通谈判、文字撰写、舆情应对能力；熟练运用数据分析工具，精准洞察业务问题并解决。</w:t>
            </w:r>
          </w:p>
          <w:p w14:paraId="508CC055">
            <w:pPr>
              <w:pStyle w:val="1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责任心强，抗压能力突出；具有创新意识、全局观念，善于团队建设与跨部门协作，维护公司品牌与利益。</w:t>
            </w:r>
          </w:p>
          <w:p w14:paraId="00482A08">
            <w:pPr>
              <w:pStyle w:val="1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具有良好的职业道德和职业操守，工作严谨细致，责任心强，具备较强的保密意识。</w:t>
            </w:r>
          </w:p>
          <w:p w14:paraId="703E8B32">
            <w:pPr>
              <w:pStyle w:val="1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5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.特别优秀者可适当放宽条件。</w:t>
            </w:r>
          </w:p>
        </w:tc>
      </w:tr>
    </w:tbl>
    <w:p w14:paraId="27244A3E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br w:type="page"/>
      </w:r>
    </w:p>
    <w:p w14:paraId="699C85BD">
      <w:pPr>
        <w:pStyle w:val="3"/>
        <w:bidi w:val="0"/>
        <w:ind w:left="0" w:leftChars="0" w:firstLine="0" w:firstLineChars="0"/>
        <w:jc w:val="center"/>
        <w:rPr>
          <w:rFonts w:hint="eastAsia"/>
          <w:color w:val="auto"/>
          <w:sz w:val="36"/>
          <w:szCs w:val="36"/>
          <w:lang w:val="en-US" w:eastAsia="zh-CN"/>
        </w:rPr>
      </w:pPr>
      <w:r>
        <w:rPr>
          <w:rFonts w:hint="eastAsia"/>
          <w:color w:val="auto"/>
          <w:sz w:val="36"/>
          <w:szCs w:val="36"/>
          <w:lang w:val="en-US" w:eastAsia="zh-CN"/>
        </w:rPr>
        <w:t>四川省外贸集团有限责任公司</w:t>
      </w:r>
    </w:p>
    <w:p w14:paraId="1ED960BE">
      <w:pPr>
        <w:pStyle w:val="3"/>
        <w:bidi w:val="0"/>
        <w:ind w:left="0" w:leftChars="0" w:firstLine="0" w:firstLineChars="0"/>
        <w:jc w:val="center"/>
        <w:rPr>
          <w:rFonts w:hint="eastAsia"/>
          <w:color w:val="auto"/>
          <w:sz w:val="36"/>
          <w:szCs w:val="36"/>
          <w:lang w:val="en-US" w:eastAsia="zh-CN"/>
        </w:rPr>
      </w:pPr>
      <w:r>
        <w:rPr>
          <w:rFonts w:hint="eastAsia"/>
          <w:color w:val="auto"/>
          <w:sz w:val="36"/>
          <w:szCs w:val="36"/>
          <w:lang w:val="en-US" w:eastAsia="zh-CN"/>
        </w:rPr>
        <w:t>战略及运营管理部部长/副部长（主持工作）岗位说明书</w:t>
      </w:r>
    </w:p>
    <w:tbl>
      <w:tblPr>
        <w:tblStyle w:val="13"/>
        <w:tblW w:w="10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04"/>
        <w:gridCol w:w="2576"/>
        <w:gridCol w:w="1042"/>
        <w:gridCol w:w="1852"/>
        <w:gridCol w:w="941"/>
        <w:gridCol w:w="1986"/>
      </w:tblGrid>
      <w:tr w14:paraId="3239E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51" w:type="dxa"/>
            <w:gridSpan w:val="2"/>
            <w:vAlign w:val="center"/>
          </w:tcPr>
          <w:p w14:paraId="3DCCC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职位名称</w:t>
            </w:r>
          </w:p>
        </w:tc>
        <w:tc>
          <w:tcPr>
            <w:tcW w:w="2602" w:type="dxa"/>
            <w:vAlign w:val="center"/>
          </w:tcPr>
          <w:p w14:paraId="2DD67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部长/副部长（主持工作）</w:t>
            </w:r>
          </w:p>
        </w:tc>
        <w:tc>
          <w:tcPr>
            <w:tcW w:w="0" w:type="auto"/>
            <w:vAlign w:val="center"/>
          </w:tcPr>
          <w:p w14:paraId="2BD30E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所属部门</w:t>
            </w:r>
          </w:p>
        </w:tc>
        <w:tc>
          <w:tcPr>
            <w:tcW w:w="0" w:type="auto"/>
            <w:vAlign w:val="center"/>
          </w:tcPr>
          <w:p w14:paraId="044D1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战略及运营管理部</w:t>
            </w:r>
          </w:p>
        </w:tc>
        <w:tc>
          <w:tcPr>
            <w:tcW w:w="948" w:type="dxa"/>
            <w:vAlign w:val="center"/>
          </w:tcPr>
          <w:p w14:paraId="5EEE8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直接上级职位</w:t>
            </w:r>
          </w:p>
        </w:tc>
        <w:tc>
          <w:tcPr>
            <w:tcW w:w="1991" w:type="dxa"/>
            <w:vAlign w:val="center"/>
          </w:tcPr>
          <w:p w14:paraId="2C4DC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分管领导</w:t>
            </w:r>
          </w:p>
        </w:tc>
      </w:tr>
      <w:tr w14:paraId="41E90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51" w:type="dxa"/>
            <w:gridSpan w:val="2"/>
            <w:vMerge w:val="restart"/>
            <w:vAlign w:val="center"/>
          </w:tcPr>
          <w:p w14:paraId="5B75C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核心职责</w:t>
            </w:r>
          </w:p>
        </w:tc>
        <w:tc>
          <w:tcPr>
            <w:tcW w:w="5447" w:type="dxa"/>
            <w:gridSpan w:val="3"/>
            <w:vMerge w:val="restart"/>
            <w:vAlign w:val="center"/>
          </w:tcPr>
          <w:p w14:paraId="26368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负责公司战略投资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管理工作。</w:t>
            </w:r>
          </w:p>
        </w:tc>
        <w:tc>
          <w:tcPr>
            <w:tcW w:w="948" w:type="dxa"/>
            <w:vAlign w:val="center"/>
          </w:tcPr>
          <w:p w14:paraId="3E5D3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职级</w:t>
            </w:r>
          </w:p>
        </w:tc>
        <w:tc>
          <w:tcPr>
            <w:tcW w:w="1991" w:type="dxa"/>
            <w:vAlign w:val="center"/>
          </w:tcPr>
          <w:p w14:paraId="47172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B06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03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Style w:val="18"/>
                <w:rFonts w:hint="eastAsia" w:ascii="Times New Roman" w:hAnsi="Times New Roman" w:eastAsia="宋体" w:cs="宋体"/>
                <w:b w:val="0"/>
                <w:color w:val="auto"/>
                <w:sz w:val="21"/>
                <w:szCs w:val="21"/>
                <w:lang w:val="en-US" w:eastAsia="zh-CN"/>
              </w:rPr>
              <w:t>B07</w:t>
            </w:r>
            <w:r>
              <w:rPr>
                <w:rStyle w:val="18"/>
                <w:rFonts w:hint="eastAsia" w:ascii="宋体" w:hAnsi="宋体" w:eastAsia="宋体" w:cs="宋体"/>
                <w:b w:val="0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Style w:val="18"/>
                <w:rFonts w:hint="eastAsia" w:ascii="Times New Roman" w:hAnsi="Times New Roman" w:eastAsia="宋体" w:cs="宋体"/>
                <w:b w:val="0"/>
                <w:color w:val="auto"/>
                <w:sz w:val="21"/>
                <w:szCs w:val="21"/>
                <w:lang w:val="en-US" w:eastAsia="zh-CN"/>
              </w:rPr>
              <w:t>02</w:t>
            </w:r>
          </w:p>
        </w:tc>
      </w:tr>
      <w:tr w14:paraId="0D888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51" w:type="dxa"/>
            <w:gridSpan w:val="2"/>
            <w:vMerge w:val="continue"/>
            <w:vAlign w:val="center"/>
          </w:tcPr>
          <w:p w14:paraId="56D57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5447" w:type="dxa"/>
            <w:gridSpan w:val="3"/>
            <w:vMerge w:val="continue"/>
            <w:vAlign w:val="center"/>
          </w:tcPr>
          <w:p w14:paraId="426F2CC4">
            <w:pPr>
              <w:keepNext w:val="0"/>
              <w:keepLines w:val="0"/>
              <w:pageBreakBefore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vAlign w:val="center"/>
          </w:tcPr>
          <w:p w14:paraId="7C1C7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薪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级</w:t>
            </w:r>
          </w:p>
        </w:tc>
        <w:tc>
          <w:tcPr>
            <w:tcW w:w="1991" w:type="dxa"/>
            <w:vAlign w:val="center"/>
          </w:tcPr>
          <w:p w14:paraId="5D7D3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根据目标和考核结果确定</w:t>
            </w:r>
          </w:p>
        </w:tc>
      </w:tr>
      <w:tr w14:paraId="67043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741" w:type="dxa"/>
            <w:vMerge w:val="restart"/>
            <w:vAlign w:val="center"/>
          </w:tcPr>
          <w:p w14:paraId="0BA80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岗</w:t>
            </w:r>
          </w:p>
          <w:p w14:paraId="72B93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位</w:t>
            </w:r>
          </w:p>
          <w:p w14:paraId="05444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</w:t>
            </w:r>
          </w:p>
          <w:p w14:paraId="240C6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责</w:t>
            </w:r>
          </w:p>
        </w:tc>
        <w:tc>
          <w:tcPr>
            <w:tcW w:w="910" w:type="dxa"/>
            <w:vAlign w:val="center"/>
          </w:tcPr>
          <w:p w14:paraId="606A8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386" w:type="dxa"/>
            <w:gridSpan w:val="5"/>
            <w:vAlign w:val="center"/>
          </w:tcPr>
          <w:p w14:paraId="0EE50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战略规划与产业布局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在公司董事会的领导下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负责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外贸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集团中长期发展战略、产业布局、转型规划编制与动态调整；对重大投资、产业项目开展战略符合性评审，确定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外贸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集团业务发展方向与赛道布局。</w:t>
            </w:r>
          </w:p>
        </w:tc>
      </w:tr>
      <w:tr w14:paraId="5651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741" w:type="dxa"/>
            <w:vMerge w:val="continue"/>
            <w:vAlign w:val="center"/>
          </w:tcPr>
          <w:p w14:paraId="7C90D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 w14:paraId="5459A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386" w:type="dxa"/>
            <w:gridSpan w:val="5"/>
            <w:vAlign w:val="center"/>
          </w:tcPr>
          <w:p w14:paraId="4C672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经营目标与计划统筹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对接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上级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主管部门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考核指标，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牵头公司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年度经营总目标、总体经营计划；将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考核指标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  <w:t>分解至各子公司、业务单元，组织签订经营责任书。</w:t>
            </w:r>
          </w:p>
        </w:tc>
      </w:tr>
      <w:tr w14:paraId="3C589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41" w:type="dxa"/>
            <w:vMerge w:val="continue"/>
            <w:vAlign w:val="center"/>
          </w:tcPr>
          <w:p w14:paraId="52A5D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C5D5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386" w:type="dxa"/>
            <w:gridSpan w:val="5"/>
            <w:vAlign w:val="center"/>
          </w:tcPr>
          <w:p w14:paraId="64CAC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负责公司综合改革管理：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公司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  <w:t>总部及下属企业的重组、并购等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  <w:t>包括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国企改革、专项治理、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  <w:t>下属企业的合资、增资、减资、分立、出让等审查工作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  <w:tr w14:paraId="0E1E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41" w:type="dxa"/>
            <w:vMerge w:val="continue"/>
            <w:vAlign w:val="center"/>
          </w:tcPr>
          <w:p w14:paraId="182D6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26D55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386" w:type="dxa"/>
            <w:gridSpan w:val="5"/>
            <w:vAlign w:val="center"/>
          </w:tcPr>
          <w:p w14:paraId="38608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运营管理与考核管控：搭建外贸集团经营考核体系，组织季度经营分析；对各单元指标完成进度、短板缺口、滞后项目进行分析研究；负责公司考核结果审定交人事部门考核结果运用。</w:t>
            </w:r>
          </w:p>
        </w:tc>
      </w:tr>
      <w:tr w14:paraId="1FFC2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41" w:type="dxa"/>
            <w:vMerge w:val="continue"/>
            <w:vAlign w:val="center"/>
          </w:tcPr>
          <w:p w14:paraId="7B807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4D0CA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386" w:type="dxa"/>
            <w:gridSpan w:val="5"/>
            <w:vAlign w:val="center"/>
          </w:tcPr>
          <w:p w14:paraId="7FC7E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负责公司的投资管理：包括投前评审、投中跟踪、投后评价等，每年对公司投资事项进行评估反馈。</w:t>
            </w:r>
          </w:p>
        </w:tc>
      </w:tr>
      <w:tr w14:paraId="44213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41" w:type="dxa"/>
            <w:vMerge w:val="continue"/>
            <w:vAlign w:val="center"/>
          </w:tcPr>
          <w:p w14:paraId="41E19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6D26F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386" w:type="dxa"/>
            <w:gridSpan w:val="5"/>
            <w:vAlign w:val="center"/>
          </w:tcPr>
          <w:p w14:paraId="4D812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经营汇报：统筹上级单位经营统计、调研汇报、专项材料报送，保障外贸集团经营数据口径统一、上报合规。</w:t>
            </w:r>
          </w:p>
        </w:tc>
      </w:tr>
      <w:tr w14:paraId="0ABF7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1" w:type="dxa"/>
            <w:vMerge w:val="continue"/>
            <w:vAlign w:val="center"/>
          </w:tcPr>
          <w:p w14:paraId="18D84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2297E4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386" w:type="dxa"/>
            <w:gridSpan w:val="5"/>
            <w:vAlign w:val="center"/>
          </w:tcPr>
          <w:p w14:paraId="1E6B3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牵头制定企业级次管理相关规定，明确二、三级企业管理权责，经决策后推进实施。</w:t>
            </w:r>
          </w:p>
        </w:tc>
      </w:tr>
      <w:tr w14:paraId="79F9E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741" w:type="dxa"/>
            <w:vMerge w:val="continue"/>
            <w:vAlign w:val="center"/>
          </w:tcPr>
          <w:p w14:paraId="428AE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23182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386" w:type="dxa"/>
            <w:gridSpan w:val="5"/>
            <w:vAlign w:val="center"/>
          </w:tcPr>
          <w:p w14:paraId="165A3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牵头制定外部董事管理相关办法，组织开展外部董事所在企业董事会年度、任期考核。</w:t>
            </w:r>
          </w:p>
        </w:tc>
      </w:tr>
      <w:tr w14:paraId="0974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41" w:type="dxa"/>
            <w:vMerge w:val="continue"/>
            <w:vAlign w:val="center"/>
          </w:tcPr>
          <w:p w14:paraId="29CD9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1AFCA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386" w:type="dxa"/>
            <w:gridSpan w:val="5"/>
            <w:vAlign w:val="center"/>
          </w:tcPr>
          <w:p w14:paraId="7078C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负责下属企业法人治理体系建设，统筹下属企业公司章程管理。</w:t>
            </w:r>
          </w:p>
        </w:tc>
      </w:tr>
      <w:tr w14:paraId="181DA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41" w:type="dxa"/>
            <w:vMerge w:val="continue"/>
            <w:vAlign w:val="center"/>
          </w:tcPr>
          <w:p w14:paraId="194C1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6E55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386" w:type="dxa"/>
            <w:gridSpan w:val="5"/>
            <w:vAlign w:val="center"/>
          </w:tcPr>
          <w:p w14:paraId="18505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指导、监督下属企业规范董事会、专门委员会，完善治理架构。</w:t>
            </w:r>
          </w:p>
        </w:tc>
      </w:tr>
      <w:tr w14:paraId="55063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1" w:type="dxa"/>
            <w:vMerge w:val="continue"/>
            <w:vAlign w:val="center"/>
          </w:tcPr>
          <w:p w14:paraId="25383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46DDF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8386" w:type="dxa"/>
            <w:gridSpan w:val="5"/>
            <w:vAlign w:val="center"/>
          </w:tcPr>
          <w:p w14:paraId="6B94A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负责公司信息化体系建设、管理及运维。</w:t>
            </w:r>
          </w:p>
        </w:tc>
      </w:tr>
      <w:tr w14:paraId="09FA1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1" w:type="dxa"/>
            <w:vMerge w:val="continue"/>
            <w:vAlign w:val="center"/>
          </w:tcPr>
          <w:p w14:paraId="3B3B7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48A86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职责12</w:t>
            </w:r>
          </w:p>
        </w:tc>
        <w:tc>
          <w:tcPr>
            <w:tcW w:w="8386" w:type="dxa"/>
            <w:gridSpan w:val="5"/>
            <w:vAlign w:val="center"/>
          </w:tcPr>
          <w:p w14:paraId="04290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both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公司及领导安排的其他工作</w:t>
            </w:r>
          </w:p>
        </w:tc>
      </w:tr>
      <w:tr w14:paraId="6A23B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41" w:type="dxa"/>
            <w:vMerge w:val="restart"/>
            <w:vAlign w:val="center"/>
          </w:tcPr>
          <w:p w14:paraId="678EC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任职资格条件</w:t>
            </w:r>
          </w:p>
        </w:tc>
        <w:tc>
          <w:tcPr>
            <w:tcW w:w="910" w:type="dxa"/>
            <w:vAlign w:val="center"/>
          </w:tcPr>
          <w:p w14:paraId="06874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3628" w:type="dxa"/>
            <w:gridSpan w:val="2"/>
            <w:vAlign w:val="center"/>
          </w:tcPr>
          <w:p w14:paraId="3EA10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0" w:type="auto"/>
            <w:vMerge w:val="restart"/>
            <w:vAlign w:val="center"/>
          </w:tcPr>
          <w:p w14:paraId="3579A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经验</w:t>
            </w:r>
          </w:p>
        </w:tc>
        <w:tc>
          <w:tcPr>
            <w:tcW w:w="2939" w:type="dxa"/>
            <w:gridSpan w:val="2"/>
            <w:vMerge w:val="restart"/>
            <w:vAlign w:val="center"/>
          </w:tcPr>
          <w:p w14:paraId="4856900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正职岗位要求</w:t>
            </w:r>
          </w:p>
          <w:p w14:paraId="090FB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内部竞聘：同层级副职岗位工作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年以上，未满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年的应当在同层级副职岗位和下一层级岗位工作累计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年以上，其中在同层级副职岗位任职应至少满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年；</w:t>
            </w:r>
          </w:p>
          <w:p w14:paraId="03577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社会招聘：任大中型企业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战略及运营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副部长岗位工作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年以上；具有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年及以上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战略及运营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工作经历，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年及以上大中型企业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战略及运营</w:t>
            </w:r>
            <w:r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管理经验优先。</w:t>
            </w:r>
          </w:p>
          <w:p w14:paraId="4C228C0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副职岗位要求</w:t>
            </w:r>
          </w:p>
          <w:p w14:paraId="43A69D5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 xml:space="preserve">内部竞聘：下一层级岗位工作 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年以上，未满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年的一般应当在下一层级和再下一层级岗位工作累计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年以上。</w:t>
            </w:r>
          </w:p>
          <w:p w14:paraId="5B7B6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textAlignment w:val="auto"/>
              <w:rPr>
                <w:rStyle w:val="18"/>
                <w:rFonts w:hint="default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社会招聘：任大中型企业外贸业务管理岗位工作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年以上；具有</w:t>
            </w:r>
            <w:r>
              <w:rPr>
                <w:rStyle w:val="18"/>
                <w:rFonts w:hint="eastAsia" w:ascii="Times New Roman" w:hAnsi="Times New Roman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年及以上战略及运营工作经历优先。</w:t>
            </w:r>
          </w:p>
        </w:tc>
      </w:tr>
      <w:tr w14:paraId="5323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41" w:type="dxa"/>
            <w:vMerge w:val="continue"/>
            <w:vAlign w:val="center"/>
          </w:tcPr>
          <w:p w14:paraId="2FB5C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 w14:paraId="4F6AA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年龄</w:t>
            </w:r>
          </w:p>
        </w:tc>
        <w:tc>
          <w:tcPr>
            <w:tcW w:w="3628" w:type="dxa"/>
            <w:gridSpan w:val="2"/>
            <w:vAlign w:val="center"/>
          </w:tcPr>
          <w:p w14:paraId="0B738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0" w:type="auto"/>
            <w:vMerge w:val="continue"/>
            <w:vAlign w:val="center"/>
          </w:tcPr>
          <w:p w14:paraId="405B2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939" w:type="dxa"/>
            <w:gridSpan w:val="2"/>
            <w:vMerge w:val="continue"/>
            <w:vAlign w:val="center"/>
          </w:tcPr>
          <w:p w14:paraId="095E5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</w:pPr>
          </w:p>
        </w:tc>
      </w:tr>
      <w:tr w14:paraId="15E43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41" w:type="dxa"/>
            <w:vMerge w:val="continue"/>
            <w:vAlign w:val="center"/>
          </w:tcPr>
          <w:p w14:paraId="2788B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 w14:paraId="75131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3628" w:type="dxa"/>
            <w:gridSpan w:val="2"/>
            <w:vAlign w:val="center"/>
          </w:tcPr>
          <w:p w14:paraId="06821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大学本科及以上</w:t>
            </w:r>
          </w:p>
        </w:tc>
        <w:tc>
          <w:tcPr>
            <w:tcW w:w="0" w:type="auto"/>
            <w:vMerge w:val="continue"/>
            <w:vAlign w:val="center"/>
          </w:tcPr>
          <w:p w14:paraId="29431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939" w:type="dxa"/>
            <w:gridSpan w:val="2"/>
            <w:vMerge w:val="continue"/>
          </w:tcPr>
          <w:p w14:paraId="6B760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</w:rPr>
            </w:pPr>
          </w:p>
        </w:tc>
      </w:tr>
      <w:tr w14:paraId="03019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41" w:type="dxa"/>
            <w:vMerge w:val="continue"/>
            <w:vAlign w:val="center"/>
          </w:tcPr>
          <w:p w14:paraId="227D6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 w14:paraId="7DB6B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3628" w:type="dxa"/>
            <w:gridSpan w:val="2"/>
          </w:tcPr>
          <w:p w14:paraId="245B5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经济类、管理类等专业优先</w:t>
            </w:r>
          </w:p>
        </w:tc>
        <w:tc>
          <w:tcPr>
            <w:tcW w:w="0" w:type="auto"/>
            <w:vAlign w:val="center"/>
          </w:tcPr>
          <w:p w14:paraId="61C06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资质和资格证书</w:t>
            </w:r>
          </w:p>
        </w:tc>
        <w:tc>
          <w:tcPr>
            <w:tcW w:w="2939" w:type="dxa"/>
            <w:gridSpan w:val="2"/>
          </w:tcPr>
          <w:p w14:paraId="2476E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无</w:t>
            </w:r>
          </w:p>
        </w:tc>
      </w:tr>
      <w:tr w14:paraId="6E454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41" w:type="dxa"/>
            <w:vMerge w:val="continue"/>
          </w:tcPr>
          <w:p w14:paraId="161FB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 w14:paraId="22E23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其他</w:t>
            </w:r>
          </w:p>
        </w:tc>
        <w:tc>
          <w:tcPr>
            <w:tcW w:w="8386" w:type="dxa"/>
            <w:gridSpan w:val="5"/>
          </w:tcPr>
          <w:p w14:paraId="7F898009">
            <w:pPr>
              <w:pStyle w:val="19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精通战略规划、投资管理、国企改革、法人治理等专业知识；熟悉宏观经济政策、行业发展趋势、信息化管理理论，具备跨领域知识整合能力。</w:t>
            </w:r>
          </w:p>
          <w:p w14:paraId="2CEC1647">
            <w:pPr>
              <w:pStyle w:val="19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具备卓越战略思维、系统规划、决策判断能力；优秀沟通协调、资源整合、文字撰写能力；熟练运用数据分析、信息化工具，精准洞察业务问题并创新解决。</w:t>
            </w:r>
          </w:p>
          <w:p w14:paraId="3140F321">
            <w:pPr>
              <w:pStyle w:val="19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责任心强，抗压能力突出；具有改革创新精神、全局视野，善于跨领域协同，坚守公司战略与合规底线，推动公司高质量发展。</w:t>
            </w:r>
          </w:p>
          <w:p w14:paraId="39EAE6C3">
            <w:pPr>
              <w:pStyle w:val="19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具有良好的职业道德和职业操守，工作严谨细致，责任心强，具备较强的保密意识。</w:t>
            </w:r>
          </w:p>
          <w:p w14:paraId="3BB85A3F">
            <w:pPr>
              <w:pStyle w:val="19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特别优秀者可适当放宽条件。</w:t>
            </w:r>
          </w:p>
        </w:tc>
      </w:tr>
    </w:tbl>
    <w:p w14:paraId="57E486ED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E5093"/>
    <w:multiLevelType w:val="singleLevel"/>
    <w:tmpl w:val="185E5093"/>
    <w:lvl w:ilvl="0" w:tentative="0">
      <w:start w:val="1"/>
      <w:numFmt w:val="decimal"/>
      <w:suff w:val="nothing"/>
      <w:lvlText w:val="%1."/>
      <w:lvlJc w:val="left"/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E14B5"/>
    <w:rsid w:val="000634FD"/>
    <w:rsid w:val="00FA2693"/>
    <w:rsid w:val="01C46E2E"/>
    <w:rsid w:val="02FC729F"/>
    <w:rsid w:val="0396725C"/>
    <w:rsid w:val="04262CAA"/>
    <w:rsid w:val="04FF140C"/>
    <w:rsid w:val="051966D3"/>
    <w:rsid w:val="059B4844"/>
    <w:rsid w:val="0692756F"/>
    <w:rsid w:val="069D6391"/>
    <w:rsid w:val="074A3E2E"/>
    <w:rsid w:val="07C90FBB"/>
    <w:rsid w:val="07F351A5"/>
    <w:rsid w:val="0802082C"/>
    <w:rsid w:val="090E4B0E"/>
    <w:rsid w:val="093F5166"/>
    <w:rsid w:val="0A107B1C"/>
    <w:rsid w:val="0AD964A8"/>
    <w:rsid w:val="0BB866BE"/>
    <w:rsid w:val="0BEC1562"/>
    <w:rsid w:val="0D4A2B6C"/>
    <w:rsid w:val="0FE35A13"/>
    <w:rsid w:val="11014184"/>
    <w:rsid w:val="117E4886"/>
    <w:rsid w:val="11C94BF9"/>
    <w:rsid w:val="11CD66FB"/>
    <w:rsid w:val="138E1F0E"/>
    <w:rsid w:val="1473128A"/>
    <w:rsid w:val="14AA4ED4"/>
    <w:rsid w:val="14DC6782"/>
    <w:rsid w:val="15543F31"/>
    <w:rsid w:val="15CB261D"/>
    <w:rsid w:val="15E05D96"/>
    <w:rsid w:val="169B233B"/>
    <w:rsid w:val="16F07F33"/>
    <w:rsid w:val="17BC105E"/>
    <w:rsid w:val="18EA32EE"/>
    <w:rsid w:val="19087C65"/>
    <w:rsid w:val="197423CC"/>
    <w:rsid w:val="1990266F"/>
    <w:rsid w:val="1B1216F8"/>
    <w:rsid w:val="1B682E82"/>
    <w:rsid w:val="1BCB6EFF"/>
    <w:rsid w:val="1C8755C4"/>
    <w:rsid w:val="1FB14DD1"/>
    <w:rsid w:val="209402CB"/>
    <w:rsid w:val="21FD075D"/>
    <w:rsid w:val="221A2104"/>
    <w:rsid w:val="24084BA5"/>
    <w:rsid w:val="24616867"/>
    <w:rsid w:val="24B01009"/>
    <w:rsid w:val="2529128E"/>
    <w:rsid w:val="266A69E1"/>
    <w:rsid w:val="267E5041"/>
    <w:rsid w:val="26E411EE"/>
    <w:rsid w:val="274748F5"/>
    <w:rsid w:val="28B92C7B"/>
    <w:rsid w:val="296755B4"/>
    <w:rsid w:val="2A102ABA"/>
    <w:rsid w:val="2A8863F7"/>
    <w:rsid w:val="2B937699"/>
    <w:rsid w:val="2BA84DE5"/>
    <w:rsid w:val="2BDB37D3"/>
    <w:rsid w:val="2CDE10AE"/>
    <w:rsid w:val="2D9E1065"/>
    <w:rsid w:val="2DA26BA6"/>
    <w:rsid w:val="2DF132CE"/>
    <w:rsid w:val="2E331BFE"/>
    <w:rsid w:val="2EC714D0"/>
    <w:rsid w:val="2F275FE4"/>
    <w:rsid w:val="2F4E4B2F"/>
    <w:rsid w:val="311455FC"/>
    <w:rsid w:val="31CA1788"/>
    <w:rsid w:val="323446FA"/>
    <w:rsid w:val="326C60C9"/>
    <w:rsid w:val="32981943"/>
    <w:rsid w:val="32BC39B9"/>
    <w:rsid w:val="33277986"/>
    <w:rsid w:val="33380117"/>
    <w:rsid w:val="333D0304"/>
    <w:rsid w:val="340D1E85"/>
    <w:rsid w:val="342E0C4F"/>
    <w:rsid w:val="352326A3"/>
    <w:rsid w:val="35E8246E"/>
    <w:rsid w:val="363267C9"/>
    <w:rsid w:val="39504C58"/>
    <w:rsid w:val="39834AD3"/>
    <w:rsid w:val="3A744C3E"/>
    <w:rsid w:val="3A8F59F4"/>
    <w:rsid w:val="3B9A5A9B"/>
    <w:rsid w:val="3BC07873"/>
    <w:rsid w:val="3CB427F5"/>
    <w:rsid w:val="3CB80653"/>
    <w:rsid w:val="3EF1247B"/>
    <w:rsid w:val="40455C7B"/>
    <w:rsid w:val="40782CEE"/>
    <w:rsid w:val="40F469E6"/>
    <w:rsid w:val="42BF68E2"/>
    <w:rsid w:val="43030CD5"/>
    <w:rsid w:val="43DF0484"/>
    <w:rsid w:val="450A7B83"/>
    <w:rsid w:val="459C1C2F"/>
    <w:rsid w:val="45B97880"/>
    <w:rsid w:val="46E40024"/>
    <w:rsid w:val="47A503E1"/>
    <w:rsid w:val="486037AB"/>
    <w:rsid w:val="48EB270E"/>
    <w:rsid w:val="49323965"/>
    <w:rsid w:val="49A62736"/>
    <w:rsid w:val="4AC6062F"/>
    <w:rsid w:val="4B94661E"/>
    <w:rsid w:val="4C601958"/>
    <w:rsid w:val="4D3637CB"/>
    <w:rsid w:val="4DE97E7A"/>
    <w:rsid w:val="4DF25957"/>
    <w:rsid w:val="4E3F3F91"/>
    <w:rsid w:val="4F5A75E3"/>
    <w:rsid w:val="4F820EB9"/>
    <w:rsid w:val="4FF52500"/>
    <w:rsid w:val="505B70E7"/>
    <w:rsid w:val="50972649"/>
    <w:rsid w:val="51031168"/>
    <w:rsid w:val="51F94B9E"/>
    <w:rsid w:val="52BE20F3"/>
    <w:rsid w:val="531B687E"/>
    <w:rsid w:val="54622B74"/>
    <w:rsid w:val="55381463"/>
    <w:rsid w:val="5667359F"/>
    <w:rsid w:val="56B533E0"/>
    <w:rsid w:val="570E0D61"/>
    <w:rsid w:val="590332FB"/>
    <w:rsid w:val="598D0581"/>
    <w:rsid w:val="59CE14B5"/>
    <w:rsid w:val="5A071176"/>
    <w:rsid w:val="5ABA18FE"/>
    <w:rsid w:val="5BA83DB1"/>
    <w:rsid w:val="5BC572A8"/>
    <w:rsid w:val="5E3F70E6"/>
    <w:rsid w:val="5E485A4F"/>
    <w:rsid w:val="60F4016E"/>
    <w:rsid w:val="61FD6264"/>
    <w:rsid w:val="62076010"/>
    <w:rsid w:val="622E1809"/>
    <w:rsid w:val="62CA0DF4"/>
    <w:rsid w:val="63E4778E"/>
    <w:rsid w:val="64A446AF"/>
    <w:rsid w:val="670B3BE3"/>
    <w:rsid w:val="67A16AC3"/>
    <w:rsid w:val="67B97839"/>
    <w:rsid w:val="681915E3"/>
    <w:rsid w:val="69DC184E"/>
    <w:rsid w:val="69E73BED"/>
    <w:rsid w:val="69ED1DE6"/>
    <w:rsid w:val="6A537C31"/>
    <w:rsid w:val="6BEA33DA"/>
    <w:rsid w:val="6FD43A4E"/>
    <w:rsid w:val="6FE42EFF"/>
    <w:rsid w:val="70194DCD"/>
    <w:rsid w:val="705F2EC4"/>
    <w:rsid w:val="70802F13"/>
    <w:rsid w:val="719B498E"/>
    <w:rsid w:val="730577B8"/>
    <w:rsid w:val="744F5002"/>
    <w:rsid w:val="756C11C5"/>
    <w:rsid w:val="75C90A6B"/>
    <w:rsid w:val="76C73108"/>
    <w:rsid w:val="77315130"/>
    <w:rsid w:val="77D21E09"/>
    <w:rsid w:val="7887191F"/>
    <w:rsid w:val="790951B2"/>
    <w:rsid w:val="79503B4A"/>
    <w:rsid w:val="797965A3"/>
    <w:rsid w:val="799F2917"/>
    <w:rsid w:val="79A51E2D"/>
    <w:rsid w:val="79E82BC5"/>
    <w:rsid w:val="7A31707E"/>
    <w:rsid w:val="7B0F2E31"/>
    <w:rsid w:val="7B353B02"/>
    <w:rsid w:val="7BD71EAC"/>
    <w:rsid w:val="7C2A39EA"/>
    <w:rsid w:val="7D42342F"/>
    <w:rsid w:val="7DD84C68"/>
    <w:rsid w:val="7E137B85"/>
    <w:rsid w:val="7E557325"/>
    <w:rsid w:val="7EB67230"/>
    <w:rsid w:val="7F181444"/>
    <w:rsid w:val="7F31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72" w:firstLineChars="20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spacing w:beforeLines="0" w:afterLines="0" w:line="640" w:lineRule="exact"/>
      <w:jc w:val="center"/>
      <w:outlineLvl w:val="0"/>
    </w:pPr>
    <w:rPr>
      <w:rFonts w:hint="eastAsia" w:ascii="Times New Roman" w:hAnsi="Times New Roman" w:eastAsia="方正小标宋简体" w:cs="Times New Roman"/>
      <w:color w:val="000000"/>
      <w:sz w:val="44"/>
      <w:szCs w:val="44"/>
    </w:rPr>
  </w:style>
  <w:style w:type="paragraph" w:styleId="4">
    <w:name w:val="heading 2"/>
    <w:basedOn w:val="1"/>
    <w:next w:val="1"/>
    <w:link w:val="16"/>
    <w:semiHidden/>
    <w:unhideWhenUsed/>
    <w:qFormat/>
    <w:uiPriority w:val="0"/>
    <w:pPr>
      <w:keepNext/>
      <w:keepLines/>
      <w:ind w:firstLine="1102" w:firstLineChars="200"/>
      <w:outlineLvl w:val="1"/>
    </w:pPr>
    <w:rPr>
      <w:rFonts w:ascii="Times New Roman" w:hAnsi="Times New Roman" w:eastAsia="黑体" w:cstheme="majorBidi"/>
      <w:color w:val="000000" w:themeColor="text1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1"/>
    <w:semiHidden/>
    <w:unhideWhenUsed/>
    <w:qFormat/>
    <w:uiPriority w:val="0"/>
    <w:pPr>
      <w:ind w:firstLine="1102" w:firstLineChars="200"/>
      <w:outlineLvl w:val="2"/>
    </w:pPr>
    <w:rPr>
      <w:rFonts w:eastAsia="楷体_GB2312" w:cs="仿宋"/>
      <w:b/>
      <w:color w:val="auto"/>
    </w:rPr>
  </w:style>
  <w:style w:type="paragraph" w:styleId="6">
    <w:name w:val="heading 4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3"/>
    </w:pPr>
    <w:rPr>
      <w:b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rPr>
      <w:rFonts w:ascii="Times New Roman" w:hAnsi="Times New Roman"/>
    </w:rPr>
  </w:style>
  <w:style w:type="paragraph" w:styleId="7">
    <w:name w:val="Salutation"/>
    <w:basedOn w:val="1"/>
    <w:next w:val="1"/>
    <w:qFormat/>
    <w:uiPriority w:val="0"/>
  </w:style>
  <w:style w:type="paragraph" w:styleId="8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9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10">
    <w:name w:val="Title"/>
    <w:basedOn w:val="1"/>
    <w:next w:val="1"/>
    <w:link w:val="18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11">
    <w:name w:val="Body Text First Indent 2"/>
    <w:basedOn w:val="8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标题 1 字符"/>
    <w:basedOn w:val="14"/>
    <w:link w:val="3"/>
    <w:qFormat/>
    <w:uiPriority w:val="9"/>
    <w:rPr>
      <w:rFonts w:ascii="Times New Roman" w:hAnsi="Times New Roman" w:eastAsia="方正小标宋简体" w:cs="Times New Roman"/>
      <w:color w:val="000000" w:themeColor="text1"/>
      <w:sz w:val="44"/>
      <w:szCs w:val="44"/>
      <w14:textFill>
        <w14:solidFill>
          <w14:schemeClr w14:val="tx1"/>
        </w14:solidFill>
      </w14:textFill>
    </w:rPr>
  </w:style>
  <w:style w:type="character" w:customStyle="1" w:styleId="16">
    <w:name w:val="标题 2 字符"/>
    <w:basedOn w:val="14"/>
    <w:link w:val="4"/>
    <w:semiHidden/>
    <w:qFormat/>
    <w:uiPriority w:val="9"/>
    <w:rPr>
      <w:rFonts w:ascii="Times New Roman" w:hAnsi="Times New Roman" w:eastAsia="黑体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7">
    <w:name w:val="正文文本 Char"/>
    <w:link w:val="2"/>
    <w:qFormat/>
    <w:uiPriority w:val="0"/>
    <w:rPr>
      <w:rFonts w:ascii="Times New Roman" w:hAnsi="Times New Roman" w:eastAsia="仿宋"/>
    </w:rPr>
  </w:style>
  <w:style w:type="character" w:customStyle="1" w:styleId="18">
    <w:name w:val="标题 字符"/>
    <w:basedOn w:val="14"/>
    <w:link w:val="10"/>
    <w:autoRedefine/>
    <w:qFormat/>
    <w:uiPriority w:val="0"/>
    <w:rPr>
      <w:rFonts w:ascii="Calibri Light" w:hAnsi="Calibri Light"/>
      <w:b/>
      <w:bCs/>
      <w:sz w:val="32"/>
      <w:szCs w:val="32"/>
    </w:rPr>
  </w:style>
  <w:style w:type="paragraph" w:customStyle="1" w:styleId="19">
    <w:name w:val="Table Paragraph"/>
    <w:basedOn w:val="1"/>
    <w:autoRedefine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2026-08-10T07:55:00Z</dcterms:created>
  <dc:creator>李瑶</dc:creator>
  <cp:lastModifiedBy>李瑶</cp:lastModifiedBy>
  <dcterms:modified xsi:type="dcterms:W3CDTF">2026-08-10T07:56:33Z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F4B80F28C68D4FAE83DB334B7FE9B2B7_11</vt:lpwstr>
  </property>
  <property fmtid="{D5CDD505-2E9C-101B-9397-08002B2CF9AE}" pid="4" name="KSOTemplateDocerSaveRecord">
    <vt:lpwstr>eyJoZGlkIjoiNjliMjJhYmYxMzZkMWIwZTY2ZjNjMTNkYTJkYTQzMzUiLCJ1c2VySWQiOiIxNjQwOTcxNzkxIn0=</vt:lpwstr>
  </property>
</Properties>
</file>